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jc w:val="center"/>
        <w:tabs>
          <w:tab w:val="clear" w:pos="708" w:leader="none"/>
          <w:tab w:val="center" w:pos="4677" w:leader="none"/>
          <w:tab w:val="right" w:pos="9355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94"/>
        <w:jc w:val="center"/>
        <w:tabs>
          <w:tab w:val="clear" w:pos="708" w:leader="none"/>
          <w:tab w:val="center" w:pos="4677" w:leader="none"/>
          <w:tab w:val="right" w:pos="9355" w:leader="none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Эполаст</w:t>
      </w:r>
      <w:r>
        <w:rPr>
          <w:b/>
          <w:bCs/>
          <w:sz w:val="44"/>
          <w:szCs w:val="44"/>
        </w:rPr>
      </w:r>
    </w:p>
    <w:p>
      <w:pPr>
        <w:pStyle w:val="694"/>
        <w:jc w:val="center"/>
        <w:tabs>
          <w:tab w:val="clear" w:pos="708" w:leader="none"/>
          <w:tab w:val="center" w:pos="4677" w:leader="none"/>
          <w:tab w:val="right" w:pos="9355" w:leader="none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  <w:r>
        <w:rPr>
          <w:b/>
          <w:bCs/>
          <w:sz w:val="44"/>
          <w:szCs w:val="44"/>
        </w:rPr>
      </w:r>
    </w:p>
    <w:p>
      <w:pPr>
        <w:pStyle w:val="69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Эпоксидный </w:t>
      </w:r>
      <w:r>
        <w:rPr>
          <w:b/>
          <w:bCs/>
          <w:sz w:val="32"/>
          <w:szCs w:val="32"/>
        </w:rPr>
      </w:r>
    </w:p>
    <w:p>
      <w:pPr>
        <w:pStyle w:val="69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высокопрочный наливной пол</w:t>
      </w:r>
      <w:r>
        <w:rPr>
          <w:b/>
          <w:bCs/>
          <w:sz w:val="32"/>
          <w:szCs w:val="32"/>
        </w:rPr>
      </w:r>
    </w:p>
    <w:p>
      <w:pPr>
        <w:pStyle w:val="69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94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высокая механическая прочность</w:t>
      </w:r>
      <w:r>
        <w:rPr>
          <w:b/>
        </w:rPr>
      </w:r>
    </w:p>
    <w:p>
      <w:pPr>
        <w:pStyle w:val="694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высокая химическая стойкость</w:t>
      </w:r>
      <w:r>
        <w:rPr>
          <w:b/>
        </w:rPr>
      </w:r>
    </w:p>
    <w:p>
      <w:pPr>
        <w:pStyle w:val="694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без резкого неприятного запаха</w:t>
      </w:r>
      <w:r>
        <w:rPr>
          <w:b/>
        </w:rPr>
      </w:r>
    </w:p>
    <w:p>
      <w:pPr>
        <w:pStyle w:val="694"/>
        <w:numPr>
          <w:ilvl w:val="0"/>
          <w:numId w:val="5"/>
        </w:numPr>
        <w:jc w:val="both"/>
      </w:pPr>
      <w:r>
        <w:t xml:space="preserve">отличные декоративные свойства</w:t>
      </w:r>
      <w:r/>
    </w:p>
    <w:p>
      <w:pPr>
        <w:pStyle w:val="694"/>
        <w:numPr>
          <w:ilvl w:val="0"/>
          <w:numId w:val="5"/>
        </w:numPr>
        <w:jc w:val="both"/>
      </w:pPr>
      <w:r>
        <w:t xml:space="preserve">адгезия и износостойкость</w:t>
      </w:r>
      <w:r/>
    </w:p>
    <w:p>
      <w:pPr>
        <w:pStyle w:val="694"/>
        <w:numPr>
          <w:ilvl w:val="0"/>
          <w:numId w:val="5"/>
        </w:numPr>
        <w:jc w:val="both"/>
      </w:pPr>
      <w:r>
        <w:t xml:space="preserve">водонепроницаемость</w:t>
      </w:r>
      <w:r/>
    </w:p>
    <w:p>
      <w:pPr>
        <w:pStyle w:val="694"/>
        <w:numPr>
          <w:ilvl w:val="0"/>
          <w:numId w:val="5"/>
        </w:numPr>
        <w:jc w:val="both"/>
      </w:pPr>
      <w:r>
        <w:t xml:space="preserve">полуглянец</w:t>
      </w:r>
      <w:r/>
    </w:p>
    <w:p>
      <w:pPr>
        <w:pStyle w:val="694"/>
        <w:ind w:left="720" w:firstLine="0"/>
        <w:jc w:val="both"/>
      </w:pPr>
      <w:r/>
      <w:r/>
    </w:p>
    <w:p>
      <w:pPr>
        <w:pStyle w:val="694"/>
        <w:jc w:val="both"/>
        <w:rPr>
          <w:bCs/>
        </w:rPr>
      </w:pPr>
      <w:r>
        <w:rPr>
          <w:b/>
          <w:bCs/>
        </w:rPr>
        <w:t xml:space="preserve">Эполаст</w:t>
      </w:r>
      <w:r>
        <w:rPr>
          <w:bCs/>
        </w:rPr>
        <w:t xml:space="preserve"> — </w:t>
      </w:r>
      <w:r>
        <w:rPr>
          <w:b/>
          <w:bCs/>
        </w:rPr>
        <w:t xml:space="preserve">эпоксидный наливной компаунд, для создания бесшовного, полуглянцевого высокопрочного покрытия без запаха и растворителей, с высокой прочностью, износостойкостью к механическим и химическим воздействиям.</w:t>
      </w:r>
      <w:r>
        <w:rPr>
          <w:bCs/>
        </w:rPr>
      </w:r>
    </w:p>
    <w:p>
      <w:pPr>
        <w:pStyle w:val="694"/>
        <w:jc w:val="both"/>
      </w:pPr>
      <w:r>
        <w:rPr>
          <w:bCs/>
        </w:rPr>
        <w:t xml:space="preserve">Двухкомпонентное эпоксидное покрытие </w:t>
      </w:r>
      <w:r>
        <w:rPr>
          <w:b/>
          <w:bCs/>
        </w:rPr>
        <w:t xml:space="preserve">Эполаст</w:t>
      </w:r>
      <w:r>
        <w:rPr>
          <w:bCs/>
        </w:rPr>
        <w:t xml:space="preserve"> на основе нескольких разновидностей полимеров и специальных аддитивов обладает высокой адгезией к различным основаниям, после полимеризации образует прочное, ровное полуглянцевое покрытие. </w:t>
      </w:r>
      <w:r/>
    </w:p>
    <w:p>
      <w:pPr>
        <w:pStyle w:val="694"/>
        <w:jc w:val="both"/>
      </w:pPr>
      <w:r>
        <w:rPr>
          <w:bCs/>
        </w:rPr>
        <w:t xml:space="preserve">Благодаря своим характеристикам, Эполаст</w:t>
      </w:r>
      <w:r>
        <w:rPr>
          <w:b/>
          <w:bCs/>
        </w:rPr>
        <w:t xml:space="preserve"> </w:t>
      </w:r>
      <w:r>
        <w:rPr>
          <w:bCs/>
        </w:rPr>
        <w:t xml:space="preserve">может</w:t>
      </w:r>
      <w:r>
        <w:rPr>
          <w:b/>
          <w:bCs/>
        </w:rPr>
        <w:t xml:space="preserve"> </w:t>
      </w:r>
      <w:r>
        <w:rPr>
          <w:bCs/>
        </w:rPr>
        <w:t xml:space="preserve">укладываться на бетон, жесткие металлические и деревянные конструкции, образует толстослойное покрытие, демонстрирующее отличные качественные характеристики:</w:t>
      </w:r>
      <w:r/>
    </w:p>
    <w:p>
      <w:pPr>
        <w:pStyle w:val="694"/>
        <w:numPr>
          <w:ilvl w:val="0"/>
          <w:numId w:val="3"/>
        </w:num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высокую стойкость к истиранию и абразивному износу;</w:t>
      </w:r>
      <w:r>
        <w:rPr>
          <w:b/>
          <w:bCs/>
          <w:i/>
          <w:color w:val="000000"/>
        </w:rPr>
      </w:r>
    </w:p>
    <w:p>
      <w:pPr>
        <w:pStyle w:val="694"/>
        <w:numPr>
          <w:ilvl w:val="0"/>
          <w:numId w:val="3"/>
        </w:numPr>
        <w:jc w:val="both"/>
      </w:pPr>
      <w:r>
        <w:rPr>
          <w:b/>
          <w:bCs/>
          <w:i/>
        </w:rPr>
        <w:t xml:space="preserve">химическую стойкость, водостойкость и водонепроницаемость;</w:t>
      </w:r>
      <w:r/>
    </w:p>
    <w:p>
      <w:pPr>
        <w:pStyle w:val="694"/>
        <w:numPr>
          <w:ilvl w:val="0"/>
          <w:numId w:val="3"/>
        </w:numPr>
        <w:jc w:val="both"/>
      </w:pPr>
      <w:r>
        <w:rPr>
          <w:b/>
          <w:bCs/>
          <w:i/>
        </w:rPr>
        <w:t xml:space="preserve">отличную стойкость к механическим воздействиям;</w:t>
      </w:r>
      <w:r/>
    </w:p>
    <w:p>
      <w:pPr>
        <w:pStyle w:val="694"/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не теряет своей прочности с течением времени;</w:t>
      </w:r>
      <w:r>
        <w:rPr>
          <w:b/>
          <w:bCs/>
          <w:i/>
        </w:rPr>
      </w:r>
    </w:p>
    <w:p>
      <w:pPr>
        <w:pStyle w:val="694"/>
        <w:numPr>
          <w:ilvl w:val="0"/>
          <w:numId w:val="3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способность к перекрытию трещин в основании;</w:t>
      </w:r>
      <w:r>
        <w:rPr>
          <w:b/>
          <w:bCs/>
          <w:i/>
        </w:rPr>
      </w:r>
    </w:p>
    <w:p>
      <w:pPr>
        <w:pStyle w:val="694"/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</w:p>
    <w:p>
      <w:pPr>
        <w:pStyle w:val="778"/>
        <w:rPr>
          <w:b/>
          <w:bCs/>
        </w:rPr>
      </w:pPr>
      <w:r>
        <w:rPr>
          <w:b/>
          <w:bCs/>
        </w:rPr>
        <w:t xml:space="preserve">Применение</w:t>
      </w:r>
      <w:r>
        <w:rPr>
          <w:b/>
          <w:bCs/>
        </w:rPr>
      </w:r>
    </w:p>
    <w:p>
      <w:pPr>
        <w:pStyle w:val="694"/>
        <w:jc w:val="both"/>
      </w:pPr>
      <w:r>
        <w:t xml:space="preserve">Финишное покрытие, образуемое </w:t>
      </w:r>
      <w:r>
        <w:rPr>
          <w:b/>
          <w:bCs/>
        </w:rPr>
        <w:t xml:space="preserve">Эполаст,</w:t>
      </w:r>
      <w:r>
        <w:t xml:space="preserve"> предназначено для применения в системах промышленных и декоративных эпоксидных напольных покрытий, где имеются повышенные требования к химической и абразивной стойкости пола, в том числе в условиях повышенной влажности. </w:t>
      </w:r>
      <w:r>
        <w:rPr>
          <w:bCs/>
        </w:rPr>
        <w:t xml:space="preserve">Сбалансированное сочетание качественных характеристик </w:t>
      </w:r>
      <w:r>
        <w:t xml:space="preserve">обеспечивает финишному покрытию долговечность и простоту эксплуатации:</w:t>
      </w:r>
      <w:r/>
    </w:p>
    <w:p>
      <w:pPr>
        <w:pStyle w:val="694"/>
        <w:jc w:val="both"/>
      </w:pPr>
      <w:r/>
      <w:r/>
    </w:p>
    <w:p>
      <w:pPr>
        <w:pStyle w:val="694"/>
        <w:jc w:val="both"/>
      </w:pPr>
      <w:r>
        <w:rPr>
          <w:b/>
          <w:bCs/>
          <w:i/>
        </w:rPr>
        <w:t xml:space="preserve">Высокое содержание нелетучих веществ </w:t>
      </w:r>
      <w:r>
        <w:rPr>
          <w:i/>
        </w:rPr>
        <w:t xml:space="preserve">- способствует формированию защитного покрытия высокой плотности;</w:t>
      </w:r>
      <w:r/>
    </w:p>
    <w:p>
      <w:pPr>
        <w:pStyle w:val="778"/>
        <w:jc w:val="both"/>
      </w:pPr>
      <w:r>
        <w:rPr>
          <w:b/>
          <w:bCs/>
          <w:i/>
        </w:rPr>
        <w:t xml:space="preserve">Повышенная текучесть</w:t>
      </w:r>
      <w:r>
        <w:rPr>
          <w:bCs/>
          <w:i/>
        </w:rPr>
        <w:t xml:space="preserve"> - способствует</w:t>
      </w:r>
      <w:r>
        <w:rPr>
          <w:b/>
          <w:bCs/>
          <w:i/>
        </w:rPr>
        <w:t xml:space="preserve"> </w:t>
      </w:r>
      <w:r>
        <w:rPr>
          <w:bCs/>
          <w:i/>
        </w:rPr>
        <w:t xml:space="preserve">хорошей растекаемости (нивелированию) состава, обеспечивая после полимеризации гладкую поверхность покрытия и выравнивание основания.</w:t>
      </w:r>
      <w:r/>
    </w:p>
    <w:p>
      <w:pPr>
        <w:pStyle w:val="778"/>
        <w:jc w:val="both"/>
      </w:pPr>
      <w:r>
        <w:rPr>
          <w:b/>
          <w:bCs/>
          <w:i/>
        </w:rPr>
        <w:t xml:space="preserve">Полуглянцевая поверхность</w:t>
      </w:r>
      <w:r>
        <w:rPr>
          <w:i/>
        </w:rPr>
        <w:t xml:space="preserve"> – </w:t>
      </w:r>
      <w:r>
        <w:rPr>
          <w:bCs/>
          <w:i/>
        </w:rPr>
        <w:t xml:space="preserve">наделяет финишный слой красивой декоративной составляющей, и способствуют облегчению при многочисленных влажных уборках с применением различных моющих средств бытовой и технической химии.</w:t>
      </w:r>
      <w:r/>
    </w:p>
    <w:p>
      <w:pPr>
        <w:pStyle w:val="778"/>
        <w:rPr>
          <w:b/>
          <w:bCs/>
        </w:rPr>
      </w:pPr>
      <w:r>
        <w:rPr>
          <w:b/>
          <w:bCs/>
          <w:i/>
        </w:rPr>
        <w:t xml:space="preserve">Отсутствие органических растворителей</w:t>
      </w:r>
      <w:r>
        <w:rPr>
          <w:bCs/>
          <w:i/>
        </w:rPr>
        <w:t xml:space="preserve"> - </w:t>
      </w:r>
      <w:r>
        <w:rPr>
          <w:bCs/>
          <w:i/>
        </w:rPr>
        <w:t xml:space="preserve">подразумевает отсутствие токсичных испарений и резкого запаха при нанесении, что даёт возможность использовать данный материал на объектах с повышенными санитарно-гигиеническими требованиями, в частности - в цехах фармацевтической и пищевой промышленности.</w:t>
      </w:r>
      <w:r>
        <w:rPr>
          <w:b/>
          <w:bCs/>
        </w:rPr>
      </w:r>
    </w:p>
    <w:p>
      <w:pPr>
        <w:pStyle w:val="778"/>
        <w:jc w:val="both"/>
      </w:pPr>
      <w:r>
        <w:t xml:space="preserve">Наливной эпоксидный пол</w:t>
      </w:r>
      <w:r>
        <w:rPr>
          <w:b/>
          <w:bCs/>
        </w:rPr>
        <w:t xml:space="preserve"> Эполаст, </w:t>
      </w:r>
      <w:r>
        <w:t xml:space="preserve">рекомендован к применению в помещениях гражданских и промышленных зданий таких как: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предприятия пищевой и фармацевтической промышленности;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торговые и производственные помещения;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детские и медицинские учреждения;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предприятия здравоохранения;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авторемонтные мастерские;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складские помещения;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самолётные ангары</w:t>
      </w:r>
      <w:r/>
    </w:p>
    <w:p>
      <w:pPr>
        <w:pStyle w:val="778"/>
        <w:numPr>
          <w:ilvl w:val="0"/>
          <w:numId w:val="4"/>
        </w:numPr>
        <w:jc w:val="both"/>
      </w:pPr>
      <w:r>
        <w:t xml:space="preserve">гаражи и ангары;</w:t>
      </w:r>
      <w:r/>
    </w:p>
    <w:p>
      <w:pPr>
        <w:pStyle w:val="778"/>
        <w:ind w:left="720" w:firstLine="0"/>
        <w:jc w:val="both"/>
      </w:pPr>
      <w:r/>
      <w:r/>
    </w:p>
    <w:p>
      <w:pPr>
        <w:pStyle w:val="778"/>
        <w:jc w:val="both"/>
      </w:pPr>
      <w:r>
        <w:rPr>
          <w:bCs/>
        </w:rPr>
        <w:t xml:space="preserve">Для достижения наилучшего результата и долговечности покрытия необходимо использовать эпоксидный наливной пол </w:t>
      </w:r>
      <w:r>
        <w:rPr>
          <w:b/>
          <w:bCs/>
        </w:rPr>
        <w:t xml:space="preserve">Эполаст</w:t>
      </w:r>
      <w:r>
        <w:rPr>
          <w:bCs/>
        </w:rPr>
        <w:t xml:space="preserve"> в качестве финишного слоя в комплексной системе с:</w:t>
      </w:r>
      <w:r/>
    </w:p>
    <w:p>
      <w:pPr>
        <w:pStyle w:val="778"/>
        <w:jc w:val="both"/>
        <w:rPr>
          <w:b/>
          <w:bCs/>
          <w:i/>
        </w:rPr>
      </w:pPr>
      <w:r>
        <w:rPr>
          <w:b/>
          <w:bCs/>
          <w:i/>
        </w:rPr>
        <w:t xml:space="preserve">Эпоксидным двухкомпонентным грунтом</w:t>
      </w:r>
      <w:r>
        <w:rPr>
          <w:bCs/>
          <w:i/>
        </w:rPr>
        <w:t xml:space="preserve"> </w:t>
      </w:r>
      <w:r>
        <w:rPr>
          <w:b/>
          <w:bCs/>
          <w:i/>
          <w:color w:val="0000cc"/>
        </w:rPr>
        <w:t xml:space="preserve">Эпоксол-2</w:t>
      </w:r>
      <w:r>
        <w:rPr>
          <w:b/>
          <w:bCs/>
          <w:i/>
          <w:color w:val="0000cc"/>
          <w:lang w:val="en-US"/>
        </w:rPr>
        <w:t xml:space="preserve">MS</w:t>
      </w:r>
      <w:r>
        <w:rPr>
          <w:b/>
          <w:bCs/>
          <w:i/>
        </w:rPr>
        <w:t xml:space="preserve"> </w:t>
      </w:r>
      <w:r>
        <w:rPr>
          <w:bCs/>
          <w:i/>
        </w:rPr>
        <w:t xml:space="preserve">– для прочных бетонных оснований марки не ниже М250 не требующих дополнительного упрочнения.</w:t>
      </w:r>
      <w:r>
        <w:rPr>
          <w:b/>
          <w:bCs/>
          <w:i/>
        </w:rPr>
      </w:r>
    </w:p>
    <w:p>
      <w:pPr>
        <w:pStyle w:val="778"/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</w:p>
    <w:p>
      <w:pPr>
        <w:pStyle w:val="694"/>
        <w:ind w:hanging="2"/>
        <w:rPr>
          <w:b/>
        </w:rPr>
      </w:pPr>
      <w:r>
        <w:rPr>
          <w:b/>
        </w:rPr>
        <w:t xml:space="preserve">ИНСТРУКЦИЯ ПО НАНЕСЕНИЮ</w:t>
      </w:r>
      <w:r>
        <w:rPr>
          <w:b/>
        </w:rPr>
      </w:r>
    </w:p>
    <w:tbl>
      <w:tblPr>
        <w:tblW w:w="10335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3"/>
        <w:gridCol w:w="3892"/>
      </w:tblGrid>
      <w:tr>
        <w:tblPrEx/>
        <w:trPr>
          <w:trHeight w:val="234"/>
        </w:trPr>
        <w:tc>
          <w:tcPr>
            <w:gridSpan w:val="2"/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rPr>
                <w:b/>
              </w:rPr>
            </w:pPr>
            <w:r>
              <w:rPr>
                <w:b/>
              </w:rPr>
              <w:t xml:space="preserve">Подготовка</w:t>
            </w:r>
            <w:r>
              <w:rPr>
                <w:b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778"/>
              <w:ind w:hanging="2"/>
              <w:jc w:val="both"/>
            </w:pPr>
            <w:r>
              <w:rPr>
                <w:bCs/>
              </w:rPr>
              <w:t xml:space="preserve">Бетонное основание должно соответствовать требованиям </w:t>
            </w:r>
            <w:r>
              <w:t xml:space="preserve">СНиП 29.13330.2011</w:t>
            </w:r>
            <w:r>
              <w:rPr>
                <w:bCs/>
              </w:rPr>
              <w:t xml:space="preserve"> «Полы» и </w:t>
            </w:r>
            <w:r>
              <w:t xml:space="preserve">СНиП 71.13330.2017</w:t>
            </w:r>
            <w:r>
              <w:rPr>
                <w:bCs/>
              </w:rPr>
              <w:t xml:space="preserve"> «Изоляционные и отделочные работы». Поверхность предварительно шлифуется, за счет шлифовки удаляется цементное (известковое) молочко, поверхность получается прочнее и ровнее. 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Комплект наливного пола </w:t>
            </w:r>
            <w:r>
              <w:rPr>
                <w:b/>
              </w:rPr>
              <w:t xml:space="preserve">Эполаст</w:t>
            </w:r>
            <w:r>
              <w:t xml:space="preserve"> включает два компонента (</w:t>
            </w:r>
            <w:r>
              <w:rPr>
                <w:b/>
              </w:rPr>
              <w:t xml:space="preserve">«А» </w:t>
            </w:r>
            <w:r>
              <w:t xml:space="preserve">и </w:t>
            </w:r>
            <w:r>
              <w:rPr>
                <w:b/>
              </w:rPr>
              <w:t xml:space="preserve">«Б»</w:t>
            </w:r>
            <w:r>
              <w:t xml:space="preserve">), котор</w:t>
            </w:r>
            <w:r>
              <w:t xml:space="preserve">ые находятся в тщательно подобранном соотношении. При несоблюдении правила полного смешивания компонентов, возможны появления дефектов финишного слоя покрытия, вздутия поверхности или остаточная липкость, или полная потеря физико-механических свойств слоя.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rPr>
                <w:b/>
              </w:rPr>
              <w:t xml:space="preserve">Компонент А </w:t>
            </w:r>
            <w:r>
              <w:t xml:space="preserve">тщательно перемешать строительным миксером или низкооборотистой дрелью с насадкой (не менее 2 мин)</w:t>
            </w:r>
            <w:r>
              <w:rPr>
                <w:b/>
              </w:rPr>
              <w:t xml:space="preserve">.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rPr>
                <w:b/>
              </w:rPr>
              <w:t xml:space="preserve">Компонент Б </w:t>
            </w:r>
            <w:r>
              <w:t xml:space="preserve">(отвердитель) добавить в </w:t>
            </w:r>
            <w:r>
              <w:rPr>
                <w:b/>
              </w:rPr>
              <w:t xml:space="preserve">компонент А</w:t>
            </w:r>
            <w:r>
              <w:t xml:space="preserve"> (компоненты поставляются комплектно).</w:t>
            </w:r>
            <w:r/>
          </w:p>
          <w:p>
            <w:pPr>
              <w:pStyle w:val="694"/>
              <w:ind w:hanging="2"/>
              <w:jc w:val="both"/>
            </w:pPr>
            <w:r>
              <w:t xml:space="preserve">Полученную смесь перемешивать не менее 2-3 минут, до однородного состояния, уделив внимание уча</w:t>
            </w:r>
            <w:r>
              <w:t xml:space="preserve">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не перемешанных областей на стенках исходной емкости).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Каждая минута нахождения </w:t>
            </w:r>
            <w:r>
              <w:rPr>
                <w:b/>
              </w:rPr>
              <w:t xml:space="preserve">смешанного комплекта материала («А»+«Б»</w:t>
            </w:r>
            <w:r>
              <w:t xml:space="preserve">) в большом объеме (в ведре) сокращает время жизни состава.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Температура проведения работ, не ниже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+5°С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Прочность основания на сжатие, МПа, не менее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20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Прочность основания на отрыв, МПа, не менее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1,5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Относительная влажность основания, не более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4 %</w:t>
            </w:r>
            <w:r/>
          </w:p>
        </w:tc>
      </w:tr>
      <w:tr>
        <w:tblPrEx/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Очистка оборудования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Ксилол, Р-универсал</w:t>
            </w:r>
            <w:r/>
          </w:p>
        </w:tc>
      </w:tr>
      <w:tr>
        <w:tblPrEx/>
        <w:trPr>
          <w:trHeight w:val="234"/>
        </w:trPr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b/>
              </w:rPr>
            </w:pPr>
            <w:r>
              <w:rPr>
                <w:b/>
              </w:rPr>
              <w:t xml:space="preserve">Нанесение</w:t>
            </w:r>
            <w:r>
              <w:rPr>
                <w:b/>
              </w:rPr>
            </w:r>
          </w:p>
        </w:tc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2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b/>
              </w:rPr>
            </w:pPr>
            <w:r>
              <w:rPr>
                <w:b/>
              </w:rPr>
              <w:t xml:space="preserve">Разбавление (не требуется)</w:t>
            </w:r>
            <w:r>
              <w:rPr>
                <w:b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После приготовления, состав </w:t>
            </w:r>
            <w:r>
              <w:rPr>
                <w:b/>
              </w:rPr>
              <w:t xml:space="preserve">Эполаст</w:t>
            </w:r>
            <w:r>
              <w:t xml:space="preserve">, выливается на загрунтованное основание и распределяется по поверхности. Все операции по смешиванию, нанесению и прокатке покрытия игольчатым валиком </w:t>
            </w:r>
            <w:r>
              <w:rPr>
                <w:b/>
              </w:rPr>
              <w:t xml:space="preserve">должны быть проведены в течении 20-30 мин при 20°С.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Потребуется: зубчатый шпатель, игольчатый валик, ракель с регулируемым зазором, металлическая кельма, валик для шероховатых поверхностей.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rPr>
                <w:b/>
              </w:rPr>
              <w:t xml:space="preserve">Гладкое</w:t>
            </w:r>
            <w:r>
              <w:t xml:space="preserve"> </w:t>
            </w:r>
            <w:r>
              <w:rPr>
                <w:b/>
              </w:rPr>
              <w:t xml:space="preserve">защитное покрытие толщиной до 1 мм. за одно нанесение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b/>
                <w:i/>
              </w:rPr>
            </w:pPr>
            <w:r>
              <w:rPr>
                <w:i/>
              </w:rPr>
              <w:t xml:space="preserve">Состав распределяется по поверхности с помощью шпателя с зубчатыми вставками/ракеля. Уложенный слой </w:t>
            </w:r>
            <w:r>
              <w:rPr>
                <w:b/>
                <w:i/>
              </w:rPr>
              <w:t xml:space="preserve">прокатывается игольчатым валиком</w:t>
            </w:r>
            <w:r>
              <w:rPr>
                <w:i/>
              </w:rPr>
              <w:t xml:space="preserve"> для удаления пузырьков воздуха и облегчения процесса нивелирования слоя. По свежему слою, необходимо передвигаться в специальной обуви – </w:t>
            </w:r>
            <w:r>
              <w:rPr>
                <w:b/>
                <w:i/>
              </w:rPr>
              <w:t xml:space="preserve">«Мокроступах»</w:t>
            </w:r>
            <w:r>
              <w:rPr>
                <w:i/>
              </w:rPr>
              <w:t xml:space="preserve"> (подошвы для наливных полов).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b/>
              </w:rPr>
            </w:pPr>
            <w:r>
              <w:rPr>
                <w:b/>
              </w:rPr>
              <w:t xml:space="preserve">Усиленное защитное покрытие толщиной от 2 до 3 мм. за одно нанесение</w:t>
            </w:r>
            <w:r>
              <w:rPr>
                <w:b/>
              </w:rPr>
            </w:r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rPr>
                <w:i/>
              </w:rPr>
              <w:t xml:space="preserve">Состав распределяется по поверхности с помощью ракеля с регулируемым зазором, металлической кельмы. Уложенный слой </w:t>
            </w:r>
            <w:r>
              <w:rPr>
                <w:b/>
                <w:i/>
              </w:rPr>
              <w:t xml:space="preserve">прокатывается игольчатым валиком</w:t>
            </w:r>
            <w:r>
              <w:rPr>
                <w:i/>
              </w:rPr>
              <w:t xml:space="preserve"> для удаления пузырьков воздуха и облегчения процесса нивелирования слоя. По свежему слою, необходимо передвигаться в специальной обуви – </w:t>
            </w:r>
            <w:r>
              <w:rPr>
                <w:b/>
                <w:i/>
              </w:rPr>
              <w:t xml:space="preserve">«Мокроступах»</w:t>
            </w:r>
            <w:r>
              <w:rPr>
                <w:i/>
              </w:rPr>
              <w:t xml:space="preserve"> (подошвы для наливных полов).</w:t>
            </w:r>
            <w:r/>
          </w:p>
        </w:tc>
      </w:tr>
      <w:tr>
        <w:tblPrEx/>
        <w:trPr>
          <w:trHeight w:val="2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5" w:type="dxa"/>
            <w:textDirection w:val="lrTb"/>
            <w:noWrap w:val="false"/>
          </w:tcPr>
          <w:p>
            <w:pPr>
              <w:pStyle w:val="694"/>
              <w:jc w:val="both"/>
              <w:rPr>
                <w:b/>
              </w:rPr>
            </w:pPr>
            <w:r>
              <w:rPr>
                <w:b/>
              </w:rPr>
              <w:t xml:space="preserve">Нанесение материала следует начинать от стены противоположной выходу. В помещениях со сложной геометрией рекомендуем заранее продумать график и план работ по заливке. </w:t>
            </w:r>
            <w:r>
              <w:rPr>
                <w:b/>
              </w:rPr>
            </w:r>
          </w:p>
        </w:tc>
      </w:tr>
    </w:tbl>
    <w:p>
      <w:pPr>
        <w:pStyle w:val="778"/>
      </w:pPr>
      <w:r/>
      <w:r/>
    </w:p>
    <w:tbl>
      <w:tblPr>
        <w:tblW w:w="1035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33"/>
        <w:gridCol w:w="3261"/>
        <w:gridCol w:w="3756"/>
      </w:tblGrid>
      <w:tr>
        <w:tblPrEx/>
        <w:trPr>
          <w:trHeight w:val="568"/>
        </w:trPr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Толщина сухой пленки, мм</w:t>
            </w:r>
            <w:r/>
          </w:p>
        </w:tc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Теоретический расход состава А+Б, кг/м2</w:t>
            </w:r>
            <w:r/>
          </w:p>
        </w:tc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6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Готовность к лёгким пешеходным нагрузкам, (20±2)°С, часов</w:t>
            </w:r>
            <w:r/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6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24</w:t>
            </w:r>
            <w:r/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6" w:type="dxa"/>
            <w:textDirection w:val="lrTb"/>
            <w:noWrap w:val="false"/>
          </w:tcPr>
          <w:p>
            <w:pPr>
              <w:pStyle w:val="694"/>
              <w:ind w:hanging="2"/>
              <w:jc w:val="center"/>
            </w:pPr>
            <w:r>
              <w:t xml:space="preserve">24</w:t>
            </w:r>
            <w:r/>
          </w:p>
        </w:tc>
      </w:tr>
    </w:tbl>
    <w:p>
      <w:pPr>
        <w:pStyle w:val="778"/>
        <w:rPr>
          <w:i/>
          <w:u w:val="single"/>
        </w:rPr>
      </w:pPr>
      <w:r>
        <w:rPr>
          <w:i/>
          <w:u w:val="single"/>
        </w:rPr>
      </w:r>
      <w:r>
        <w:rPr>
          <w:i/>
          <w:u w:val="single"/>
        </w:rPr>
      </w:r>
    </w:p>
    <w:p>
      <w:pPr>
        <w:pStyle w:val="778"/>
        <w:rPr>
          <w:b/>
        </w:rPr>
      </w:pPr>
      <w:r>
        <w:rPr>
          <w:b/>
        </w:rPr>
        <w:t xml:space="preserve">ОГРАНИЧЕНИЕ ОТВЕТСТВЕННОСТИ</w:t>
      </w:r>
      <w:r>
        <w:rPr>
          <w:b/>
        </w:rPr>
      </w:r>
    </w:p>
    <w:p>
      <w:pPr>
        <w:pStyle w:val="778"/>
        <w:jc w:val="both"/>
      </w:pPr>
      <w:r>
        <w:t xml:space="preserve">Компания ООО «НПО КРАСКО» после реализации своей продукции не может контролировать процесс транспортировки, хранения и нанесения материалов, а также соблюдение условий эксплуатации полимерных покрытий конечными потребит</w:t>
      </w:r>
      <w:r>
        <w:t xml:space="preserve">елями. ООО «НПО КРАСКО» несёт ответственность только за качество материала при поставке его потребителю или передачи в транспортную компанию для отправки его заказчику. Мы гарантируем соответствие выпускаемой продукции всем нашим стандартам. ООО «НПО КРАСК</w:t>
      </w:r>
      <w:r>
        <w:t xml:space="preserve">О» не несет ответственности за дефекты, образовавшиеся в результате некорректного применения материалов, хранении и транспортировки. Гарантии, касающиеся ожидаемой прибыли или другой юридической ответственности, не могут быть основаны на данной информации.</w:t>
      </w:r>
      <w:r/>
    </w:p>
    <w:p>
      <w:pPr>
        <w:pStyle w:val="778"/>
        <w:jc w:val="both"/>
      </w:pPr>
      <w:r>
        <w:t xml:space="preserve">ООО «НПО КРАСКО» постоянно оптимизирует и совершенствует своё производство, компания оставляет за собой право изме</w:t>
      </w:r>
      <w:r>
        <w:t xml:space="preserve">нять техническое описание материала без уведомления клиентов. С введением нового описания старое техническое описание утрачивает актуальность. Перед применением наших материалов убедитесь в наличии у Вас действующего на данный момент технического описания.</w:t>
      </w:r>
      <w:r/>
    </w:p>
    <w:p>
      <w:pPr>
        <w:pStyle w:val="778"/>
        <w:jc w:val="both"/>
      </w:pPr>
      <w:r/>
      <w:r/>
    </w:p>
    <w:p>
      <w:pPr>
        <w:pStyle w:val="778"/>
      </w:pPr>
      <w:r>
        <w:t xml:space="preserve">ТЕХНИЧЕСКАЯ ИНФОРМАЦИЯ</w:t>
      </w:r>
      <w:r/>
    </w:p>
    <w:tbl>
      <w:tblPr>
        <w:tblW w:w="1029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04"/>
        <w:gridCol w:w="3586"/>
      </w:tblGrid>
      <w:tr>
        <w:tblPrEx/>
        <w:trPr>
          <w:trHeight w:val="257"/>
        </w:trPr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rPr>
                <w:b/>
              </w:rPr>
            </w:pPr>
            <w:r>
              <w:rPr>
                <w:b/>
              </w:rPr>
              <w:t xml:space="preserve">Наименование показателя</w:t>
            </w:r>
            <w:r>
              <w:rPr>
                <w:b/>
              </w:rPr>
            </w:r>
          </w:p>
        </w:tc>
        <w:tc>
          <w:tcPr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rPr>
                <w:b/>
              </w:rPr>
            </w:pPr>
            <w:r>
              <w:rPr>
                <w:b/>
              </w:rPr>
              <w:t xml:space="preserve">Значение</w:t>
            </w:r>
            <w:r>
              <w:rPr>
                <w:b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Технические условия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20.30.12-004-01524656-2017</w:t>
            </w:r>
            <w:r/>
          </w:p>
        </w:tc>
      </w:tr>
      <w:tr>
        <w:tblPrEx/>
        <w:trPr>
          <w:trHeight w:val="7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Основа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vAlign w:val="center"/>
            <w:textDirection w:val="lrTb"/>
            <w:noWrap w:val="false"/>
          </w:tcPr>
          <w:p>
            <w:pPr>
              <w:pStyle w:val="694"/>
              <w:ind w:hanging="2"/>
            </w:pPr>
            <w:r>
              <w:t xml:space="preserve">Двухкомпонентный эпоксидный состав на основе нескольких разновидностей полимеров и специальных компонентов</w:t>
            </w:r>
            <w:r/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Внешний вид пленки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vAlign w:val="center"/>
            <w:textDirection w:val="lrTb"/>
            <w:noWrap w:val="false"/>
          </w:tcPr>
          <w:p>
            <w:pPr>
              <w:pStyle w:val="694"/>
              <w:ind w:hanging="2"/>
            </w:pPr>
            <w:r>
              <w:t xml:space="preserve">Однородная полуглянцевая поверхность</w:t>
            </w:r>
            <w:r/>
          </w:p>
        </w:tc>
      </w:tr>
      <w:tr>
        <w:tblPrEx/>
        <w:trPr>
          <w:trHeight w:val="257"/>
        </w:trPr>
        <w:tc>
          <w:tcPr>
            <w:gridSpan w:val="2"/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0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Объем сухого остатка,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99</w:t>
            </w:r>
            <w:r/>
          </w:p>
        </w:tc>
      </w:tr>
      <w:tr>
        <w:tblPrEx/>
        <w:trPr>
          <w:trHeight w:val="257"/>
        </w:trPr>
        <w:tc>
          <w:tcPr>
            <w:gridSpan w:val="2"/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0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Цвет покрытия, </w:t>
            </w:r>
            <w:r>
              <w:rPr>
                <w:lang w:val="en-US"/>
              </w:rPr>
              <w:t xml:space="preserve">RAL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7040</w:t>
            </w:r>
            <w:r>
              <w:rPr>
                <w:lang w:val="en-US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Жизнеспособность после смешения компонентов (А+Б) при температуре (20,0±0,5)° С, мин, не менее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20-30</w:t>
            </w:r>
            <w:r/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Время высыхания до степени 3 при t (20,0±0,5)°С, ч, не более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24</w:t>
            </w:r>
            <w:r/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Готовность покрытия к щадящим пешеходным нагрузкам (20,0±0,5)°С, ч, не более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24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Окончательный набор прочности, сут. (полимеризация)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7</w:t>
            </w:r>
            <w:r/>
          </w:p>
        </w:tc>
      </w:tr>
      <w:tr>
        <w:tblPrEx/>
        <w:trPr>
          <w:trHeight w:val="257"/>
        </w:trPr>
        <w:tc>
          <w:tcPr>
            <w:gridSpan w:val="2"/>
            <w:shd w:val="clear" w:color="auto" w:fill="f7caa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0" w:type="dxa"/>
            <w:textDirection w:val="lrTb"/>
            <w:noWrap w:val="false"/>
          </w:tcPr>
          <w:p>
            <w:pPr>
              <w:pStyle w:val="694"/>
              <w:ind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Удлинение при разрыве  % ,не менее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49</w:t>
            </w:r>
            <w:r/>
          </w:p>
        </w:tc>
      </w:tr>
      <w:tr>
        <w:tblPrEx/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4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Прочность пленки при растяжении, МПа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694"/>
              <w:ind w:hanging="2"/>
              <w:jc w:val="both"/>
            </w:pPr>
            <w:r>
              <w:t xml:space="preserve">80</w:t>
            </w:r>
            <w:r/>
          </w:p>
        </w:tc>
      </w:tr>
    </w:tbl>
    <w:p>
      <w:pPr>
        <w:pStyle w:val="778"/>
      </w:pPr>
      <w:r/>
      <w:r/>
    </w:p>
    <w:p>
      <w:pPr>
        <w:pStyle w:val="694"/>
        <w:ind w:hanging="2"/>
        <w:jc w:val="both"/>
        <w:rPr>
          <w:b/>
        </w:rPr>
      </w:pPr>
      <w:r>
        <w:rPr>
          <w:b/>
        </w:rPr>
        <w:t xml:space="preserve">Безопасность</w:t>
      </w:r>
      <w:r>
        <w:rPr>
          <w:b/>
        </w:rPr>
      </w:r>
    </w:p>
    <w:p>
      <w:pPr>
        <w:pStyle w:val="694"/>
        <w:ind w:hanging="2"/>
        <w:jc w:val="both"/>
      </w:pPr>
      <w:r>
        <w:t xml:space="preserve">Работы по на</w:t>
      </w:r>
      <w:r>
        <w:t xml:space="preserve">несению наливного пола,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  <w:r/>
    </w:p>
    <w:p>
      <w:pPr>
        <w:pStyle w:val="778"/>
      </w:pPr>
      <w:r/>
      <w:r/>
    </w:p>
    <w:p>
      <w:pPr>
        <w:pStyle w:val="694"/>
        <w:ind w:hanging="2"/>
        <w:jc w:val="both"/>
        <w:rPr>
          <w:b/>
        </w:rPr>
      </w:pPr>
      <w:r>
        <w:rPr>
          <w:b/>
        </w:rPr>
        <w:t xml:space="preserve">Условия хранения</w:t>
      </w:r>
      <w:r>
        <w:rPr>
          <w:b/>
        </w:rPr>
      </w:r>
    </w:p>
    <w:p>
      <w:pPr>
        <w:pStyle w:val="778"/>
      </w:pPr>
      <w:r>
        <w:t xml:space="preserve">Состав хранить, в прочно закрытой таре при температуре от +5 до +35°С. Не нагревать. Беречь от огня и прямых солнечных лучей.</w:t>
      </w:r>
      <w:r/>
    </w:p>
    <w:p>
      <w:pPr>
        <w:pStyle w:val="778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778"/>
      </w:pPr>
      <w:r>
        <w:t xml:space="preserve">Гарантийный срок хранения в заводской упаковке — 6 месяцев со дня изготовления.</w:t>
      </w:r>
      <w:r/>
    </w:p>
    <w:p>
      <w:pPr>
        <w:pStyle w:val="778"/>
      </w:pPr>
      <w:r/>
      <w:r/>
    </w:p>
    <w:p>
      <w:pPr>
        <w:pStyle w:val="694"/>
        <w:ind w:hanging="2"/>
        <w:jc w:val="both"/>
        <w:rPr>
          <w:b/>
        </w:rPr>
      </w:pPr>
      <w:r>
        <w:rPr>
          <w:b/>
        </w:rPr>
        <w:t xml:space="preserve">Тара</w:t>
      </w:r>
      <w:r>
        <w:rPr>
          <w:b/>
        </w:rPr>
      </w:r>
    </w:p>
    <w:p>
      <w:pPr>
        <w:pStyle w:val="694"/>
        <w:ind w:hanging="2"/>
        <w:jc w:val="both"/>
      </w:pPr>
      <w:r>
        <w:t xml:space="preserve">Тара </w:t>
      </w:r>
      <w:r>
        <w:rPr>
          <w:b/>
          <w:lang w:val="en-US"/>
        </w:rPr>
        <w:t xml:space="preserve">3</w:t>
      </w:r>
      <w:r>
        <w:rPr>
          <w:b/>
        </w:rPr>
        <w:t xml:space="preserve">0 кг</w:t>
      </w:r>
      <w:r>
        <w:t xml:space="preserve"> </w:t>
      </w:r>
      <w:r/>
    </w:p>
    <w:p>
      <w:pPr>
        <w:pStyle w:val="779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Внимание! </w:t>
      </w:r>
      <w:r>
        <w:rPr>
          <w:sz w:val="24"/>
          <w:szCs w:val="24"/>
        </w:rPr>
      </w:r>
    </w:p>
    <w:p>
      <w:pPr>
        <w:pStyle w:val="779"/>
        <w:numPr>
          <w:ilvl w:val="0"/>
          <w:numId w:val="2"/>
        </w:numPr>
        <w:ind w:left="71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Поставляется в литографированной таре! </w:t>
      </w:r>
      <w:r>
        <w:rPr>
          <w:sz w:val="24"/>
          <w:szCs w:val="24"/>
        </w:rPr>
      </w:r>
    </w:p>
    <w:p>
      <w:pPr>
        <w:pStyle w:val="779"/>
        <w:numPr>
          <w:ilvl w:val="0"/>
          <w:numId w:val="6"/>
        </w:numPr>
        <w:ind w:left="718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Этикетка оснащена защитными элементами от подделок!</w:t>
      </w:r>
      <w:r>
        <w:rPr>
          <w:sz w:val="24"/>
          <w:szCs w:val="24"/>
        </w:rPr>
      </w:r>
    </w:p>
    <w:p>
      <w:pPr>
        <w:pStyle w:val="77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4"/>
        <w:tabs>
          <w:tab w:val="clear" w:pos="708" w:leader="none"/>
          <w:tab w:val="center" w:pos="4677" w:leader="none"/>
          <w:tab w:val="right" w:pos="9355" w:leader="none"/>
        </w:tabs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64" w:right="720" w:bottom="764" w:left="720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50202020403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8255" t="8255" r="8255" b="8255"/>
              <wp:wrapNone/>
              <wp:docPr id="2" name="Прямоугольник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364880" cy="952884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rgbClr val="767171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9;o:allowoverlap:true;o:allowincell:false;mso-position-horizontal-relative:page;mso-position-horizontal:center;mso-position-vertical-relative:page;mso-position-vertical:center;width:579.90pt;height:750.30pt;mso-wrap-distance-left:9.05pt;mso-wrap-distance-top:0.00pt;mso-wrap-distance-right:9.05pt;mso-wrap-distance-bottom:0.00pt;visibility:visible;" filled="f" strokecolor="#767171" strokeweight="1.25pt"/>
          </w:pict>
        </mc:Fallback>
      </mc:AlternateContent>
    </w:r>
    <w:r>
      <w:rPr>
        <w:color w:val="5b9bd5"/>
      </w:rPr>
      <w:t xml:space="preserve"> </w:t>
    </w:r>
    <w:r>
      <w:rPr>
        <w:rFonts w:ascii="Calibri Light" w:hAnsi="Calibri Light" w:cs="Calibri Light"/>
        <w:color w:val="5b9bd5"/>
        <w:sz w:val="20"/>
        <w:szCs w:val="20"/>
      </w:rPr>
      <w:t xml:space="preserve">Стр. </w:t>
    </w:r>
    <w:r>
      <w:rPr>
        <w:rFonts w:ascii="Calibri" w:hAnsi="Calibri" w:cs="Calibri"/>
        <w:color w:val="5b9bd5"/>
        <w:sz w:val="20"/>
        <w:szCs w:val="20"/>
      </w:rPr>
      <w:fldChar w:fldCharType="begin"/>
    </w:r>
    <w:r>
      <w:rPr>
        <w:rFonts w:ascii="Calibri" w:hAnsi="Calibri" w:cs="Calibri"/>
        <w:color w:val="5b9bd5"/>
        <w:sz w:val="20"/>
        <w:szCs w:val="20"/>
      </w:rPr>
      <w:instrText xml:space="preserve"> PAGE </w:instrText>
    </w:r>
    <w:r>
      <w:rPr>
        <w:rFonts w:ascii="Calibri" w:hAnsi="Calibri" w:cs="Calibri"/>
        <w:color w:val="5b9bd5"/>
        <w:sz w:val="20"/>
        <w:szCs w:val="20"/>
      </w:rPr>
      <w:fldChar w:fldCharType="separate"/>
    </w:r>
    <w:r>
      <w:rPr>
        <w:rFonts w:ascii="Calibri" w:hAnsi="Calibri" w:cs="Calibri"/>
        <w:color w:val="5b9bd5"/>
        <w:sz w:val="20"/>
        <w:szCs w:val="20"/>
      </w:rPr>
      <w:t xml:space="preserve">4</w:t>
    </w:r>
    <w:r>
      <w:rPr>
        <w:rFonts w:ascii="Calibri" w:hAnsi="Calibri" w:cs="Calibri"/>
        <w:color w:val="5b9bd5"/>
        <w:sz w:val="20"/>
        <w:szCs w:val="20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5" behindDoc="1" locked="0" layoutInCell="0" allowOverlap="1">
              <wp:simplePos x="0" y="0"/>
              <wp:positionH relativeFrom="column">
                <wp:posOffset>-273050</wp:posOffset>
              </wp:positionH>
              <wp:positionV relativeFrom="paragraph">
                <wp:posOffset>-360045</wp:posOffset>
              </wp:positionV>
              <wp:extent cx="7209155" cy="1219835"/>
              <wp:effectExtent l="0" t="0" r="0" b="0"/>
              <wp:wrapNone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5" t="-32" r="-4" b="-31"/>
                      <a:stretch/>
                    </pic:blipFill>
                    <pic:spPr bwMode="auto">
                      <a:xfrm>
                        <a:off x="0" y="0"/>
                        <a:ext cx="7209155" cy="1219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5;o:allowoverlap:true;o:allowincell:false;mso-position-horizontal-relative:text;margin-left:-21.50pt;mso-position-horizontal:absolute;mso-position-vertical-relative:text;margin-top:-28.35pt;mso-position-vertical:absolute;width:567.65pt;height:96.05pt;mso-wrap-distance-left:9.05pt;mso-wrap-distance-top:0.00pt;mso-wrap-distance-right:9.05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lang w:val="en-US" w:eastAsia="en-US"/>
      </w:rPr>
    </w:r>
  </w:p>
  <w:p>
    <w:pPr>
      <w:pStyle w:val="781"/>
    </w:pPr>
    <w:r/>
    <w:r/>
  </w:p>
  <w:p>
    <w:pPr>
      <w:pStyle w:val="781"/>
    </w:pPr>
    <w:r/>
    <w:r/>
  </w:p>
  <w:p>
    <w:pPr>
      <w:pStyle w:val="781"/>
    </w:pPr>
    <w:r/>
    <w:r/>
  </w:p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18" w:firstLine="358"/>
        <w:tabs>
          <w:tab w:val="num" w:pos="708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38" w:firstLine="107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58" w:firstLine="179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78" w:firstLine="251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98" w:firstLine="323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18" w:firstLine="395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38" w:firstLine="467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58" w:firstLine="539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78" w:firstLine="611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18" w:firstLine="358"/>
        <w:tabs>
          <w:tab w:val="num" w:pos="708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38" w:firstLine="107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58" w:firstLine="179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78" w:firstLine="251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98" w:firstLine="323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18" w:firstLine="395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38" w:firstLine="467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58" w:firstLine="539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78" w:firstLine="6118"/>
        <w:tabs>
          <w:tab w:val="num" w:pos="0" w:leader="none"/>
        </w:tabs>
      </w:pPr>
      <w:rPr>
        <w:rFonts w:hint="default" w:ascii="Arial" w:hAnsi="Arial" w:cs="Arial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9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9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81"/>
    <w:uiPriority w:val="99"/>
  </w:style>
  <w:style w:type="character" w:styleId="45">
    <w:name w:val="Footer Char"/>
    <w:basedOn w:val="11"/>
    <w:link w:val="782"/>
    <w:uiPriority w:val="99"/>
  </w:style>
  <w:style w:type="character" w:styleId="47">
    <w:name w:val="Caption Char"/>
    <w:basedOn w:val="774"/>
    <w:link w:val="782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95">
    <w:name w:val="Heading 1"/>
    <w:basedOn w:val="694"/>
    <w:next w:val="772"/>
    <w:qFormat/>
    <w:pPr>
      <w:numPr>
        <w:ilvl w:val="0"/>
        <w:numId w:val="1"/>
      </w:numPr>
      <w:spacing w:before="0" w:after="105"/>
      <w:pBdr>
        <w:bottom w:val="single" w:color="D0DBDB" w:sz="6" w:space="4"/>
      </w:pBdr>
      <w:outlineLvl w:val="0"/>
    </w:pPr>
    <w:rPr>
      <w:b/>
      <w:bCs/>
      <w:color w:val="003366"/>
      <w:sz w:val="27"/>
      <w:szCs w:val="27"/>
    </w:rPr>
  </w:style>
  <w:style w:type="paragraph" w:styleId="696">
    <w:name w:val="Heading 3"/>
    <w:basedOn w:val="694"/>
    <w:next w:val="772"/>
    <w:qFormat/>
    <w:pPr>
      <w:numPr>
        <w:ilvl w:val="2"/>
        <w:numId w:val="1"/>
      </w:numPr>
      <w:outlineLvl w:val="2"/>
    </w:pPr>
    <w:rPr>
      <w:b/>
      <w:bCs/>
      <w:color w:val="003366"/>
      <w:sz w:val="18"/>
      <w:szCs w:val="18"/>
    </w:rPr>
  </w:style>
  <w:style w:type="character" w:styleId="697">
    <w:name w:val="WW8Num1z0"/>
    <w:qFormat/>
    <w:rPr>
      <w:rFonts w:ascii="Symbol" w:hAnsi="Symbol" w:cs="Symbol"/>
      <w:sz w:val="20"/>
    </w:rPr>
  </w:style>
  <w:style w:type="character" w:styleId="698">
    <w:name w:val="WW8Num1z1"/>
    <w:qFormat/>
    <w:rPr>
      <w:rFonts w:ascii="Courier New" w:hAnsi="Courier New" w:cs="Courier New"/>
      <w:sz w:val="20"/>
    </w:rPr>
  </w:style>
  <w:style w:type="character" w:styleId="699">
    <w:name w:val="WW8Num1z2"/>
    <w:qFormat/>
    <w:rPr>
      <w:rFonts w:ascii="Wingdings" w:hAnsi="Wingdings" w:cs="Wingdings"/>
      <w:sz w:val="20"/>
    </w:rPr>
  </w:style>
  <w:style w:type="character" w:styleId="700">
    <w:name w:val="WW8Num2z0"/>
    <w:qFormat/>
    <w:rPr>
      <w:rFonts w:ascii="Symbol" w:hAnsi="Symbol" w:cs="Symbol"/>
    </w:rPr>
  </w:style>
  <w:style w:type="character" w:styleId="701">
    <w:name w:val="WW8Num3z0"/>
    <w:qFormat/>
    <w:rPr>
      <w:rFonts w:ascii="Arial" w:hAnsi="Arial" w:eastAsia="Arial" w:cs="Arial"/>
    </w:rPr>
  </w:style>
  <w:style w:type="character" w:styleId="702">
    <w:name w:val="WW8Num4z0"/>
    <w:qFormat/>
    <w:rPr>
      <w:rFonts w:ascii="Symbol" w:hAnsi="Symbol" w:cs="Symbol"/>
    </w:rPr>
  </w:style>
  <w:style w:type="character" w:styleId="703">
    <w:name w:val="WW8Num4z1"/>
    <w:qFormat/>
    <w:rPr>
      <w:rFonts w:ascii="Courier New" w:hAnsi="Courier New" w:cs="Courier New"/>
    </w:rPr>
  </w:style>
  <w:style w:type="character" w:styleId="704">
    <w:name w:val="WW8Num4z2"/>
    <w:qFormat/>
    <w:rPr>
      <w:rFonts w:ascii="Wingdings" w:hAnsi="Wingdings" w:cs="Wingdings"/>
    </w:rPr>
  </w:style>
  <w:style w:type="character" w:styleId="705">
    <w:name w:val="WW8Num5z0"/>
    <w:qFormat/>
    <w:rPr>
      <w:rFonts w:ascii="Symbol" w:hAnsi="Symbol" w:cs="Symbol"/>
    </w:rPr>
  </w:style>
  <w:style w:type="character" w:styleId="706">
    <w:name w:val="WW8Num5z1"/>
    <w:qFormat/>
    <w:rPr>
      <w:rFonts w:ascii="Courier New" w:hAnsi="Courier New" w:cs="Courier New"/>
    </w:rPr>
  </w:style>
  <w:style w:type="character" w:styleId="707">
    <w:name w:val="WW8Num5z2"/>
    <w:qFormat/>
    <w:rPr>
      <w:rFonts w:ascii="Wingdings" w:hAnsi="Wingdings" w:cs="Wingdings"/>
    </w:rPr>
  </w:style>
  <w:style w:type="character" w:styleId="708">
    <w:name w:val="WW8Num6z0"/>
    <w:qFormat/>
    <w:rPr>
      <w:rFonts w:ascii="Symbol" w:hAnsi="Symbol" w:cs="Symbol"/>
      <w:sz w:val="20"/>
    </w:rPr>
  </w:style>
  <w:style w:type="character" w:styleId="709">
    <w:name w:val="WW8Num6z1"/>
    <w:qFormat/>
    <w:rPr>
      <w:rFonts w:ascii="Courier New" w:hAnsi="Courier New" w:cs="Courier New"/>
      <w:sz w:val="20"/>
    </w:rPr>
  </w:style>
  <w:style w:type="character" w:styleId="710">
    <w:name w:val="WW8Num6z2"/>
    <w:qFormat/>
    <w:rPr>
      <w:rFonts w:ascii="Wingdings" w:hAnsi="Wingdings" w:cs="Wingdings"/>
      <w:sz w:val="20"/>
    </w:rPr>
  </w:style>
  <w:style w:type="character" w:styleId="711">
    <w:name w:val="WW8Num7z0"/>
    <w:qFormat/>
    <w:rPr>
      <w:rFonts w:ascii="Symbol" w:hAnsi="Symbol" w:cs="Symbol"/>
      <w:sz w:val="20"/>
    </w:rPr>
  </w:style>
  <w:style w:type="character" w:styleId="712">
    <w:name w:val="WW8Num7z1"/>
    <w:qFormat/>
    <w:rPr>
      <w:rFonts w:ascii="Courier New" w:hAnsi="Courier New" w:cs="Courier New"/>
      <w:sz w:val="20"/>
    </w:rPr>
  </w:style>
  <w:style w:type="character" w:styleId="713">
    <w:name w:val="WW8Num7z2"/>
    <w:qFormat/>
    <w:rPr>
      <w:rFonts w:ascii="Wingdings" w:hAnsi="Wingdings" w:cs="Wingdings"/>
      <w:sz w:val="20"/>
    </w:rPr>
  </w:style>
  <w:style w:type="character" w:styleId="714">
    <w:name w:val="WW8Num8z0"/>
    <w:qFormat/>
    <w:rPr>
      <w:rFonts w:ascii="Symbol" w:hAnsi="Symbol" w:cs="Symbol"/>
    </w:rPr>
  </w:style>
  <w:style w:type="character" w:styleId="715">
    <w:name w:val="WW8Num8z1"/>
    <w:qFormat/>
    <w:rPr>
      <w:rFonts w:ascii="Courier New" w:hAnsi="Courier New" w:cs="Courier New"/>
    </w:rPr>
  </w:style>
  <w:style w:type="character" w:styleId="716">
    <w:name w:val="WW8Num8z2"/>
    <w:qFormat/>
    <w:rPr>
      <w:rFonts w:ascii="Wingdings" w:hAnsi="Wingdings" w:cs="Wingdings"/>
    </w:rPr>
  </w:style>
  <w:style w:type="character" w:styleId="717">
    <w:name w:val="WW8Num9z0"/>
    <w:qFormat/>
    <w:rPr>
      <w:rFonts w:ascii="Symbol" w:hAnsi="Symbol" w:cs="Symbol"/>
      <w:sz w:val="20"/>
    </w:rPr>
  </w:style>
  <w:style w:type="character" w:styleId="718">
    <w:name w:val="WW8Num9z1"/>
    <w:qFormat/>
    <w:rPr>
      <w:rFonts w:ascii="Courier New" w:hAnsi="Courier New" w:cs="Courier New"/>
      <w:sz w:val="20"/>
    </w:rPr>
  </w:style>
  <w:style w:type="character" w:styleId="719">
    <w:name w:val="WW8Num9z2"/>
    <w:qFormat/>
    <w:rPr>
      <w:rFonts w:ascii="Wingdings" w:hAnsi="Wingdings" w:cs="Wingdings"/>
      <w:sz w:val="20"/>
    </w:rPr>
  </w:style>
  <w:style w:type="character" w:styleId="720">
    <w:name w:val="WW8Num10z0"/>
    <w:qFormat/>
    <w:rPr>
      <w:rFonts w:ascii="Symbol" w:hAnsi="Symbol" w:cs="Symbol"/>
      <w:sz w:val="20"/>
    </w:rPr>
  </w:style>
  <w:style w:type="character" w:styleId="721">
    <w:name w:val="WW8Num10z1"/>
    <w:qFormat/>
    <w:rPr>
      <w:rFonts w:ascii="Courier New" w:hAnsi="Courier New" w:cs="Courier New"/>
      <w:sz w:val="20"/>
    </w:rPr>
  </w:style>
  <w:style w:type="character" w:styleId="722">
    <w:name w:val="WW8Num10z2"/>
    <w:qFormat/>
    <w:rPr>
      <w:rFonts w:ascii="Wingdings" w:hAnsi="Wingdings" w:cs="Wingdings"/>
      <w:sz w:val="20"/>
    </w:rPr>
  </w:style>
  <w:style w:type="character" w:styleId="723">
    <w:name w:val="WW8Num11z0"/>
    <w:qFormat/>
    <w:rPr>
      <w:rFonts w:ascii="Arial" w:hAnsi="Arial" w:eastAsia="Arial" w:cs="Arial"/>
      <w:position w:val="0"/>
      <w:sz w:val="24"/>
      <w:vertAlign w:val="baseline"/>
    </w:rPr>
  </w:style>
  <w:style w:type="character" w:styleId="724">
    <w:name w:val="WW8Num12z0"/>
    <w:qFormat/>
    <w:rPr>
      <w:rFonts w:ascii="Arial" w:hAnsi="Arial" w:eastAsia="Arial" w:cs="Arial"/>
      <w:position w:val="0"/>
      <w:sz w:val="24"/>
      <w:vertAlign w:val="baseline"/>
    </w:rPr>
  </w:style>
  <w:style w:type="character" w:styleId="725">
    <w:name w:val="WW8Num13z0"/>
    <w:qFormat/>
    <w:rPr>
      <w:rFonts w:ascii="Symbol" w:hAnsi="Symbol" w:cs="Symbol"/>
    </w:rPr>
  </w:style>
  <w:style w:type="character" w:styleId="726">
    <w:name w:val="WW8Num13z1"/>
    <w:qFormat/>
    <w:rPr>
      <w:rFonts w:ascii="Courier New" w:hAnsi="Courier New" w:cs="Courier New"/>
    </w:rPr>
  </w:style>
  <w:style w:type="character" w:styleId="727">
    <w:name w:val="WW8Num13z2"/>
    <w:qFormat/>
    <w:rPr>
      <w:rFonts w:ascii="Wingdings" w:hAnsi="Wingdings" w:cs="Wingdings"/>
    </w:rPr>
  </w:style>
  <w:style w:type="character" w:styleId="728">
    <w:name w:val="WW8Num14z0"/>
    <w:qFormat/>
    <w:rPr>
      <w:rFonts w:ascii="Symbol" w:hAnsi="Symbol" w:cs="Symbol"/>
      <w:sz w:val="20"/>
    </w:rPr>
  </w:style>
  <w:style w:type="character" w:styleId="729">
    <w:name w:val="WW8Num14z1"/>
    <w:qFormat/>
    <w:rPr>
      <w:rFonts w:ascii="Courier New" w:hAnsi="Courier New" w:cs="Courier New"/>
      <w:sz w:val="20"/>
    </w:rPr>
  </w:style>
  <w:style w:type="character" w:styleId="730">
    <w:name w:val="WW8Num14z2"/>
    <w:qFormat/>
    <w:rPr>
      <w:rFonts w:ascii="Wingdings" w:hAnsi="Wingdings" w:cs="Wingdings"/>
      <w:sz w:val="20"/>
    </w:rPr>
  </w:style>
  <w:style w:type="character" w:styleId="731">
    <w:name w:val="WW8Num15z0"/>
    <w:qFormat/>
    <w:rPr>
      <w:rFonts w:ascii="Symbol" w:hAnsi="Symbol" w:cs="Symbol"/>
      <w:sz w:val="20"/>
    </w:rPr>
  </w:style>
  <w:style w:type="character" w:styleId="732">
    <w:name w:val="WW8Num15z1"/>
    <w:qFormat/>
    <w:rPr>
      <w:rFonts w:ascii="Courier New" w:hAnsi="Courier New" w:cs="Courier New"/>
      <w:sz w:val="20"/>
    </w:rPr>
  </w:style>
  <w:style w:type="character" w:styleId="733">
    <w:name w:val="WW8Num15z2"/>
    <w:qFormat/>
    <w:rPr>
      <w:rFonts w:ascii="Wingdings" w:hAnsi="Wingdings" w:cs="Wingdings"/>
      <w:sz w:val="20"/>
    </w:rPr>
  </w:style>
  <w:style w:type="character" w:styleId="734">
    <w:name w:val="WW8Num16z0"/>
    <w:qFormat/>
    <w:rPr>
      <w:rFonts w:ascii="Symbol" w:hAnsi="Symbol" w:cs="Symbol"/>
      <w:sz w:val="20"/>
    </w:rPr>
  </w:style>
  <w:style w:type="character" w:styleId="735">
    <w:name w:val="WW8Num16z1"/>
    <w:qFormat/>
    <w:rPr>
      <w:rFonts w:ascii="Courier New" w:hAnsi="Courier New" w:cs="Courier New"/>
      <w:sz w:val="20"/>
    </w:rPr>
  </w:style>
  <w:style w:type="character" w:styleId="736">
    <w:name w:val="WW8Num16z2"/>
    <w:qFormat/>
    <w:rPr>
      <w:rFonts w:ascii="Wingdings" w:hAnsi="Wingdings" w:cs="Wingdings"/>
      <w:sz w:val="20"/>
    </w:rPr>
  </w:style>
  <w:style w:type="character" w:styleId="737">
    <w:name w:val="WW8Num17z0"/>
    <w:qFormat/>
    <w:rPr>
      <w:rFonts w:ascii="Symbol" w:hAnsi="Symbol" w:cs="Symbol"/>
      <w:sz w:val="20"/>
    </w:rPr>
  </w:style>
  <w:style w:type="character" w:styleId="738">
    <w:name w:val="WW8Num17z1"/>
    <w:qFormat/>
    <w:rPr>
      <w:rFonts w:ascii="Courier New" w:hAnsi="Courier New" w:cs="Times New Roman"/>
      <w:sz w:val="20"/>
    </w:rPr>
  </w:style>
  <w:style w:type="character" w:styleId="739">
    <w:name w:val="WW8Num17z2"/>
    <w:qFormat/>
    <w:rPr>
      <w:rFonts w:ascii="Wingdings" w:hAnsi="Wingdings" w:cs="Wingdings"/>
      <w:sz w:val="20"/>
    </w:rPr>
  </w:style>
  <w:style w:type="character" w:styleId="740">
    <w:name w:val="WW8Num18z0"/>
    <w:qFormat/>
    <w:rPr>
      <w:rFonts w:ascii="Symbol" w:hAnsi="Symbol" w:cs="Symbol"/>
    </w:rPr>
  </w:style>
  <w:style w:type="character" w:styleId="741">
    <w:name w:val="WW8Num18z1"/>
    <w:qFormat/>
    <w:rPr>
      <w:rFonts w:ascii="Courier New" w:hAnsi="Courier New" w:cs="Courier New"/>
    </w:rPr>
  </w:style>
  <w:style w:type="character" w:styleId="742">
    <w:name w:val="WW8Num18z2"/>
    <w:qFormat/>
    <w:rPr>
      <w:rFonts w:ascii="Wingdings" w:hAnsi="Wingdings" w:cs="Wingdings"/>
    </w:rPr>
  </w:style>
  <w:style w:type="character" w:styleId="743">
    <w:name w:val="WW8Num19z0"/>
    <w:qFormat/>
    <w:rPr>
      <w:rFonts w:ascii="Symbol" w:hAnsi="Symbol" w:cs="Symbol"/>
    </w:rPr>
  </w:style>
  <w:style w:type="character" w:styleId="744">
    <w:name w:val="WW8Num19z1"/>
    <w:qFormat/>
    <w:rPr>
      <w:rFonts w:ascii="Courier New" w:hAnsi="Courier New" w:cs="Courier New"/>
    </w:rPr>
  </w:style>
  <w:style w:type="character" w:styleId="745">
    <w:name w:val="WW8Num19z2"/>
    <w:qFormat/>
    <w:rPr>
      <w:rFonts w:ascii="Wingdings" w:hAnsi="Wingdings" w:cs="Wingdings"/>
    </w:rPr>
  </w:style>
  <w:style w:type="character" w:styleId="746">
    <w:name w:val="WW8Num20z0"/>
    <w:qFormat/>
    <w:rPr>
      <w:rFonts w:ascii="Arial" w:hAnsi="Arial" w:eastAsia="Arial" w:cs="Arial"/>
      <w:position w:val="0"/>
      <w:sz w:val="24"/>
      <w:vertAlign w:val="baseline"/>
    </w:rPr>
  </w:style>
  <w:style w:type="character" w:styleId="747">
    <w:name w:val="WW8Num21z0"/>
    <w:qFormat/>
    <w:rPr>
      <w:rFonts w:ascii="Symbol" w:hAnsi="Symbol" w:cs="Symbol"/>
      <w:sz w:val="20"/>
    </w:rPr>
  </w:style>
  <w:style w:type="character" w:styleId="748">
    <w:name w:val="WW8Num21z1"/>
    <w:qFormat/>
    <w:rPr>
      <w:rFonts w:ascii="Courier New" w:hAnsi="Courier New" w:cs="Courier New"/>
      <w:sz w:val="20"/>
    </w:rPr>
  </w:style>
  <w:style w:type="character" w:styleId="749">
    <w:name w:val="WW8Num21z2"/>
    <w:qFormat/>
    <w:rPr>
      <w:rFonts w:ascii="Wingdings" w:hAnsi="Wingdings" w:cs="Wingdings"/>
      <w:sz w:val="20"/>
    </w:rPr>
  </w:style>
  <w:style w:type="character" w:styleId="750">
    <w:name w:val="WW8Num22z0"/>
    <w:qFormat/>
    <w:rPr>
      <w:rFonts w:ascii="Symbol" w:hAnsi="Symbol" w:cs="Symbol"/>
      <w:sz w:val="20"/>
    </w:rPr>
  </w:style>
  <w:style w:type="character" w:styleId="751">
    <w:name w:val="WW8Num22z1"/>
    <w:qFormat/>
    <w:rPr>
      <w:rFonts w:ascii="Courier New" w:hAnsi="Courier New" w:cs="Courier New"/>
      <w:sz w:val="20"/>
    </w:rPr>
  </w:style>
  <w:style w:type="character" w:styleId="752">
    <w:name w:val="WW8Num22z2"/>
    <w:qFormat/>
    <w:rPr>
      <w:rFonts w:ascii="Wingdings" w:hAnsi="Wingdings" w:cs="Wingdings"/>
      <w:sz w:val="20"/>
    </w:rPr>
  </w:style>
  <w:style w:type="character" w:styleId="753">
    <w:name w:val="WW8Num23z0"/>
    <w:qFormat/>
    <w:rPr>
      <w:rFonts w:ascii="Symbol" w:hAnsi="Symbol" w:cs="Symbol"/>
      <w:sz w:val="20"/>
    </w:rPr>
  </w:style>
  <w:style w:type="character" w:styleId="754">
    <w:name w:val="WW8Num23z1"/>
    <w:qFormat/>
    <w:rPr>
      <w:rFonts w:ascii="Courier New" w:hAnsi="Courier New" w:cs="Courier New"/>
      <w:sz w:val="20"/>
    </w:rPr>
  </w:style>
  <w:style w:type="character" w:styleId="755">
    <w:name w:val="WW8Num23z2"/>
    <w:qFormat/>
    <w:rPr>
      <w:rFonts w:ascii="Wingdings" w:hAnsi="Wingdings" w:cs="Wingdings"/>
      <w:sz w:val="20"/>
    </w:rPr>
  </w:style>
  <w:style w:type="character" w:styleId="756">
    <w:name w:val="WW8Num24z0"/>
    <w:qFormat/>
    <w:rPr>
      <w:rFonts w:ascii="Symbol" w:hAnsi="Symbol" w:cs="Symbol"/>
      <w:sz w:val="20"/>
    </w:rPr>
  </w:style>
  <w:style w:type="character" w:styleId="757">
    <w:name w:val="WW8Num24z1"/>
    <w:qFormat/>
    <w:rPr>
      <w:rFonts w:ascii="Courier New" w:hAnsi="Courier New" w:cs="Courier New"/>
      <w:sz w:val="20"/>
    </w:rPr>
  </w:style>
  <w:style w:type="character" w:styleId="758">
    <w:name w:val="WW8Num24z2"/>
    <w:qFormat/>
    <w:rPr>
      <w:rFonts w:ascii="Wingdings" w:hAnsi="Wingdings" w:cs="Wingdings"/>
      <w:sz w:val="20"/>
    </w:rPr>
  </w:style>
  <w:style w:type="character" w:styleId="759">
    <w:name w:val="WW8Num25z0"/>
    <w:qFormat/>
    <w:rPr>
      <w:rFonts w:ascii="Symbol" w:hAnsi="Symbol" w:cs="Symbol"/>
      <w:sz w:val="20"/>
    </w:rPr>
  </w:style>
  <w:style w:type="character" w:styleId="760">
    <w:name w:val="WW8Num25z1"/>
    <w:qFormat/>
    <w:rPr>
      <w:rFonts w:ascii="Courier New" w:hAnsi="Courier New" w:cs="Courier New"/>
      <w:sz w:val="20"/>
    </w:rPr>
  </w:style>
  <w:style w:type="character" w:styleId="761">
    <w:name w:val="WW8Num25z2"/>
    <w:qFormat/>
    <w:rPr>
      <w:rFonts w:ascii="Wingdings" w:hAnsi="Wingdings" w:cs="Wingdings"/>
      <w:sz w:val="20"/>
    </w:rPr>
  </w:style>
  <w:style w:type="character" w:styleId="762">
    <w:name w:val="WW8Num26z0"/>
    <w:qFormat/>
    <w:rPr>
      <w:rFonts w:ascii="Symbol" w:hAnsi="Symbol" w:cs="Symbol"/>
      <w:sz w:val="20"/>
    </w:rPr>
  </w:style>
  <w:style w:type="character" w:styleId="763">
    <w:name w:val="WW8Num26z1"/>
    <w:qFormat/>
    <w:rPr>
      <w:rFonts w:ascii="Courier New" w:hAnsi="Courier New" w:cs="Courier New"/>
      <w:sz w:val="20"/>
    </w:rPr>
  </w:style>
  <w:style w:type="character" w:styleId="764">
    <w:name w:val="WW8Num26z2"/>
    <w:qFormat/>
    <w:rPr>
      <w:rFonts w:ascii="Wingdings" w:hAnsi="Wingdings" w:cs="Wingdings"/>
      <w:sz w:val="20"/>
    </w:rPr>
  </w:style>
  <w:style w:type="character" w:styleId="765">
    <w:name w:val="Основной шрифт абзаца"/>
    <w:qFormat/>
  </w:style>
  <w:style w:type="character" w:styleId="766">
    <w:name w:val="Strong"/>
    <w:qFormat/>
    <w:rPr>
      <w:b/>
      <w:bCs/>
    </w:rPr>
  </w:style>
  <w:style w:type="character" w:styleId="767">
    <w:name w:val="Hyperlink"/>
    <w:rPr>
      <w:color w:val="0000ff"/>
      <w:u w:val="single"/>
    </w:rPr>
  </w:style>
  <w:style w:type="character" w:styleId="768">
    <w:name w:val="apple-converted-space"/>
    <w:basedOn w:val="765"/>
    <w:qFormat/>
  </w:style>
  <w:style w:type="character" w:styleId="769">
    <w:name w:val="Верхний колонтитул Знак"/>
    <w:qFormat/>
    <w:rPr>
      <w:sz w:val="24"/>
      <w:szCs w:val="24"/>
    </w:rPr>
  </w:style>
  <w:style w:type="character" w:styleId="770">
    <w:name w:val="Нижний колонтитул Знак"/>
    <w:qFormat/>
    <w:rPr>
      <w:sz w:val="24"/>
      <w:szCs w:val="24"/>
    </w:rPr>
  </w:style>
  <w:style w:type="paragraph" w:styleId="771">
    <w:name w:val="Heading"/>
    <w:basedOn w:val="694"/>
    <w:next w:val="77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72">
    <w:name w:val="Body Text"/>
    <w:basedOn w:val="694"/>
    <w:pPr>
      <w:spacing w:before="0" w:after="140" w:line="276" w:lineRule="auto"/>
    </w:pPr>
  </w:style>
  <w:style w:type="paragraph" w:styleId="773">
    <w:name w:val="List"/>
    <w:basedOn w:val="772"/>
  </w:style>
  <w:style w:type="paragraph" w:styleId="774">
    <w:name w:val="Caption"/>
    <w:basedOn w:val="69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75">
    <w:name w:val="Index"/>
    <w:basedOn w:val="694"/>
    <w:qFormat/>
    <w:pPr>
      <w:suppressLineNumbers/>
    </w:pPr>
  </w:style>
  <w:style w:type="paragraph" w:styleId="776">
    <w:name w:val="Обычный (веб)"/>
    <w:basedOn w:val="694"/>
    <w:qFormat/>
    <w:pPr>
      <w:spacing w:before="0" w:after="105"/>
    </w:pPr>
  </w:style>
  <w:style w:type="paragraph" w:styleId="777">
    <w:name w:val="Текст выноски"/>
    <w:basedOn w:val="694"/>
    <w:qFormat/>
    <w:rPr>
      <w:rFonts w:ascii="Tahoma" w:hAnsi="Tahoma" w:cs="Tahoma"/>
      <w:sz w:val="16"/>
      <w:szCs w:val="16"/>
    </w:rPr>
  </w:style>
  <w:style w:type="paragraph" w:styleId="778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79">
    <w:name w:val="Обычный1"/>
    <w:qFormat/>
    <w:pPr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ar-SA"/>
    </w:rPr>
  </w:style>
  <w:style w:type="paragraph" w:styleId="780">
    <w:name w:val="Header and Footer"/>
    <w:basedOn w:val="69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81">
    <w:name w:val="Header"/>
    <w:basedOn w:val="69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82">
    <w:name w:val="Footer"/>
    <w:basedOn w:val="69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83">
    <w:name w:val="Table Contents"/>
    <w:basedOn w:val="694"/>
    <w:qFormat/>
    <w:pPr>
      <w:widowControl w:val="off"/>
      <w:suppressLineNumbers/>
    </w:pPr>
  </w:style>
  <w:style w:type="paragraph" w:styleId="784">
    <w:name w:val="Table Heading"/>
    <w:basedOn w:val="783"/>
    <w:qFormat/>
    <w:pPr>
      <w:jc w:val="center"/>
      <w:suppressLineNumbers/>
    </w:pPr>
    <w:rPr>
      <w:b/>
      <w:bCs/>
    </w:rPr>
  </w:style>
  <w:style w:type="numbering" w:styleId="785">
    <w:name w:val="WW8Num1"/>
    <w:qFormat/>
  </w:style>
  <w:style w:type="numbering" w:styleId="786">
    <w:name w:val="WW8Num2"/>
    <w:qFormat/>
  </w:style>
  <w:style w:type="numbering" w:styleId="787">
    <w:name w:val="WW8Num3"/>
    <w:qFormat/>
  </w:style>
  <w:style w:type="numbering" w:styleId="788">
    <w:name w:val="WW8Num4"/>
    <w:qFormat/>
  </w:style>
  <w:style w:type="numbering" w:styleId="789">
    <w:name w:val="WW8Num5"/>
    <w:qFormat/>
  </w:style>
  <w:style w:type="numbering" w:styleId="790">
    <w:name w:val="WW8Num6"/>
    <w:qFormat/>
  </w:style>
  <w:style w:type="numbering" w:styleId="791">
    <w:name w:val="WW8Num7"/>
    <w:qFormat/>
  </w:style>
  <w:style w:type="numbering" w:styleId="792">
    <w:name w:val="WW8Num8"/>
    <w:qFormat/>
  </w:style>
  <w:style w:type="numbering" w:styleId="793">
    <w:name w:val="WW8Num9"/>
    <w:qFormat/>
  </w:style>
  <w:style w:type="numbering" w:styleId="794">
    <w:name w:val="WW8Num10"/>
    <w:qFormat/>
  </w:style>
  <w:style w:type="numbering" w:styleId="795">
    <w:name w:val="WW8Num11"/>
    <w:qFormat/>
  </w:style>
  <w:style w:type="numbering" w:styleId="796">
    <w:name w:val="WW8Num12"/>
    <w:qFormat/>
  </w:style>
  <w:style w:type="numbering" w:styleId="797">
    <w:name w:val="WW8Num13"/>
    <w:qFormat/>
  </w:style>
  <w:style w:type="numbering" w:styleId="798">
    <w:name w:val="WW8Num14"/>
    <w:qFormat/>
  </w:style>
  <w:style w:type="numbering" w:styleId="799">
    <w:name w:val="WW8Num15"/>
    <w:qFormat/>
  </w:style>
  <w:style w:type="numbering" w:styleId="800">
    <w:name w:val="WW8Num16"/>
    <w:qFormat/>
  </w:style>
  <w:style w:type="numbering" w:styleId="801">
    <w:name w:val="WW8Num17"/>
    <w:qFormat/>
  </w:style>
  <w:style w:type="numbering" w:styleId="802">
    <w:name w:val="WW8Num18"/>
    <w:qFormat/>
  </w:style>
  <w:style w:type="numbering" w:styleId="803">
    <w:name w:val="WW8Num19"/>
    <w:qFormat/>
  </w:style>
  <w:style w:type="numbering" w:styleId="804">
    <w:name w:val="WW8Num20"/>
    <w:qFormat/>
  </w:style>
  <w:style w:type="numbering" w:styleId="805">
    <w:name w:val="WW8Num21"/>
    <w:qFormat/>
  </w:style>
  <w:style w:type="numbering" w:styleId="806">
    <w:name w:val="WW8Num22"/>
    <w:qFormat/>
  </w:style>
  <w:style w:type="numbering" w:styleId="807">
    <w:name w:val="WW8Num23"/>
    <w:qFormat/>
  </w:style>
  <w:style w:type="numbering" w:styleId="808">
    <w:name w:val="WW8Num24"/>
    <w:qFormat/>
  </w:style>
  <w:style w:type="numbering" w:styleId="809">
    <w:name w:val="WW8Num25"/>
    <w:qFormat/>
  </w:style>
  <w:style w:type="numbering" w:styleId="810">
    <w:name w:val="WW8Num26"/>
    <w:qFormat/>
  </w:style>
  <w:style w:type="character" w:styleId="1795" w:default="1">
    <w:name w:val="Default Paragraph Font"/>
    <w:uiPriority w:val="1"/>
    <w:semiHidden/>
    <w:unhideWhenUsed/>
  </w:style>
  <w:style w:type="numbering" w:styleId="1796" w:default="1">
    <w:name w:val="No List"/>
    <w:uiPriority w:val="99"/>
    <w:semiHidden/>
    <w:unhideWhenUsed/>
  </w:style>
  <w:style w:type="table" w:styleId="17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subject/>
  <dc:creator>Евгений</dc:creator>
  <cp:keywords/>
  <dc:description/>
  <dc:language>en-US</dc:language>
  <cp:lastModifiedBy>Андрей Санососюк</cp:lastModifiedBy>
  <cp:revision>12</cp:revision>
  <dcterms:created xsi:type="dcterms:W3CDTF">2024-01-31T15:19:00Z</dcterms:created>
  <dcterms:modified xsi:type="dcterms:W3CDTF">2025-05-27T13:29:11Z</dcterms:modified>
</cp:coreProperties>
</file>